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7030a0"/>
          <w:sz w:val="28"/>
          <w:szCs w:val="28"/>
          <w:u w:val="singl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7030a0"/>
          <w:sz w:val="28"/>
          <w:szCs w:val="28"/>
          <w:u w:val="single"/>
          <w:shd w:fill="auto" w:val="clear"/>
          <w:vertAlign w:val="baseline"/>
          <w:rtl w:val="0"/>
        </w:rPr>
        <w:t xml:space="preserve">Safeguarding Communication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7030a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7030a0"/>
          <w:sz w:val="28"/>
          <w:szCs w:val="28"/>
          <w:u w:val="single"/>
          <w:shd w:fill="auto" w:val="clear"/>
          <w:vertAlign w:val="baseline"/>
          <w:rtl w:val="0"/>
        </w:rPr>
        <w:t xml:space="preserve">For Gymnasts, Parents and Coaches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7030a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7030a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7030a0"/>
          <w:sz w:val="28"/>
          <w:szCs w:val="28"/>
          <w:u w:val="single"/>
          <w:shd w:fill="auto" w:val="clear"/>
          <w:vertAlign w:val="baseline"/>
          <w:rtl w:val="0"/>
        </w:rPr>
        <w:t xml:space="preserve">Majestic Gymnastics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to remind you that the British Gymnastics has a strict policy on the use of the Internet and has recently updated the policy. Majestic Gymnastics also has a strict policy for Internet use. The main points are: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coach is permitted to communicate directly with an individual gymnast through text, internet chat rooms, social media networks (including but not exclusive to Facebook, Twitter, Facetime, SnapChat, Instagram).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to gymnasts must be through parents, group emails or from updates posted on the Majestic Gymnastics website or Facebook page. Coaches and gymnasts who communicate on a 1-1 basis could be subject to disciplinary sanctions.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no circumstances can a coach communicate with a gymnast via video social media coaches (including but not exclusive to Facetime, Skype, SnapChat video).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Gymnasts, parents and coaches, must not post unfavourable, personal or disrespectful comments regarding, gymnasts, coaches, personnel or the club on public social media networks (including but not exclusive to Facebook, Twitter, Facetime, SnapChat, Instagram).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become aware that the above is occurring, please contact our Welfare Officer. Full details of this policy can be found on the British Gymnastics Website, Safeguarding and Protecting Children Policy (Communication Policy and Procedures).</w:t>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-563879</wp:posOffset>
          </wp:positionH>
          <wp:positionV relativeFrom="paragraph">
            <wp:posOffset>-137159</wp:posOffset>
          </wp:positionV>
          <wp:extent cx="1257300" cy="996411"/>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57300" cy="9964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8" w:hanging="360"/>
      </w:pPr>
      <w:rPr/>
    </w:lvl>
    <w:lvl w:ilvl="1">
      <w:start w:val="1"/>
      <w:numFmt w:val="lowerLetter"/>
      <w:lvlText w:val="%2."/>
      <w:lvlJc w:val="left"/>
      <w:pPr>
        <w:ind w:left="1488" w:hanging="360"/>
      </w:pPr>
      <w:rPr/>
    </w:lvl>
    <w:lvl w:ilvl="2">
      <w:start w:val="1"/>
      <w:numFmt w:val="lowerRoman"/>
      <w:lvlText w:val="%3."/>
      <w:lvlJc w:val="right"/>
      <w:pPr>
        <w:ind w:left="2208" w:hanging="180"/>
      </w:pPr>
      <w:rPr/>
    </w:lvl>
    <w:lvl w:ilvl="3">
      <w:start w:val="1"/>
      <w:numFmt w:val="decimal"/>
      <w:lvlText w:val="%4."/>
      <w:lvlJc w:val="left"/>
      <w:pPr>
        <w:ind w:left="2928" w:hanging="360"/>
      </w:pPr>
      <w:rPr/>
    </w:lvl>
    <w:lvl w:ilvl="4">
      <w:start w:val="1"/>
      <w:numFmt w:val="lowerLetter"/>
      <w:lvlText w:val="%5."/>
      <w:lvlJc w:val="left"/>
      <w:pPr>
        <w:ind w:left="3648" w:hanging="360"/>
      </w:pPr>
      <w:rPr/>
    </w:lvl>
    <w:lvl w:ilvl="5">
      <w:start w:val="1"/>
      <w:numFmt w:val="lowerRoman"/>
      <w:lvlText w:val="%6."/>
      <w:lvlJc w:val="right"/>
      <w:pPr>
        <w:ind w:left="4368" w:hanging="180"/>
      </w:pPr>
      <w:rPr/>
    </w:lvl>
    <w:lvl w:ilvl="6">
      <w:start w:val="1"/>
      <w:numFmt w:val="decimal"/>
      <w:lvlText w:val="%7."/>
      <w:lvlJc w:val="left"/>
      <w:pPr>
        <w:ind w:left="5088" w:hanging="360"/>
      </w:pPr>
      <w:rPr/>
    </w:lvl>
    <w:lvl w:ilvl="7">
      <w:start w:val="1"/>
      <w:numFmt w:val="lowerLetter"/>
      <w:lvlText w:val="%8."/>
      <w:lvlJc w:val="left"/>
      <w:pPr>
        <w:ind w:left="5808" w:hanging="360"/>
      </w:pPr>
      <w:rPr/>
    </w:lvl>
    <w:lvl w:ilvl="8">
      <w:start w:val="1"/>
      <w:numFmt w:val="lowerRoman"/>
      <w:lvlText w:val="%9."/>
      <w:lvlJc w:val="right"/>
      <w:pPr>
        <w:ind w:left="652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